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rPr>
          <w:rFonts w:hint="eastAsia" w:ascii="宋体" w:hAnsi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TW-RG764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空气纵掠平板时局部换热系数的测定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eastAsia="zh-CN"/>
        </w:rPr>
        <w:t>装置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val="en-US" w:eastAsia="zh-CN"/>
        </w:rPr>
        <w:t xml:space="preserve"> </w:t>
      </w:r>
    </w:p>
    <w:p>
      <w:pPr>
        <w:ind w:firstLine="1051" w:firstLineChars="500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</w:pPr>
    </w:p>
    <w:p>
      <w:pPr>
        <w:ind w:firstLine="1051" w:firstLineChars="500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66690" cy="4732655"/>
            <wp:effectExtent l="0" t="0" r="6350" b="6985"/>
            <wp:docPr id="1" name="图片 1" descr="07fd03d0dee767b41ae36e30de1e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fd03d0dee767b41ae36e30de1ef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一、实验目的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1.测定空气纵掠流过平板表面时的放热系数；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2.根据对受强迫运动放热过程的相似分析，将实验数据整理成准则方程式。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技术指标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1.电镀紫铜平板试件规格：δ=0.1 mm，长度280mm，宽度190 mm，表面黑度ε=0.2，导热系数λ=15(W/m℃)；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2.电镀紫铜平板电加热器电源：AC220V，额定电流5A，电加热功率：≤500W；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3.数显电压表：AC220V，精度0.2级；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4.数显电流表：量程5A，精度0.2级。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5.电镀紫铜平板温度测试传感器.。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6.温度测量：-55～+127℃，精度：±0.2FS；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7. 斜管微压计；要求：0～1000Pa，精度：0.25级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8.多翼式低噪音风机：全压450～350Pa，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风量1300～3300m3/h，转速1450r/min。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9.常温、常压下运行,工作电源：三相五线380V±10%，50Hz，功率500W；安全保护：具有接地保护，漏电保护，过流保护；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10.电源线路及控制线的安装：须使用环保阻燃电气配线槽，规范整理符合国家标准，具有绝缘、防弧、阻燃自熄等特点，布线整齐，安装可靠，便于查找、维修和调换线路；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11.装置外型尺寸：2200×450×1500mm。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eastAsia="微软雅黑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二、主要配置及参数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1.实验有机玻璃风洞、低噪音前向多翼式风机、千分尺、移动检测滑道、斜管微压计、加热器、平板试件、温度传感器、测温巡检仪表、数显电流表、数显电压表、调温模块、附面层专用测针、测速毕托管；电源控制系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不锈钢框架实验台（配脚轮均为万向轮带禁锢脚）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325F5F11"/>
    <w:rsid w:val="05781E40"/>
    <w:rsid w:val="325F5F11"/>
    <w:rsid w:val="374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utoSpaceDE/>
      <w:autoSpaceDN/>
      <w:snapToGrid/>
      <w:spacing w:after="0" w:afterLines="0" w:line="360" w:lineRule="auto"/>
      <w:ind w:firstLine="0" w:firstLineChars="0"/>
      <w:jc w:val="both"/>
      <w:textAlignment w:val="auto"/>
    </w:pPr>
    <w:rPr>
      <w:rFonts w:ascii="Times New Roman" w:hAnsi="Times New Roman" w:eastAsia="宋体" w:cs="Times New Roman"/>
      <w:kern w:val="2"/>
      <w:szCs w:val="20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651</Characters>
  <Lines>0</Lines>
  <Paragraphs>0</Paragraphs>
  <TotalTime>12</TotalTime>
  <ScaleCrop>false</ScaleCrop>
  <LinksUpToDate>false</LinksUpToDate>
  <CharactersWithSpaces>655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2022-11-03T03:21:00Z</dcterms:created>
  <dc:creator>湘潭金凯销售部</dc:creator>
  <cp:lastModifiedBy>Administrator</cp:lastModifiedBy>
  <dcterms:modified xsi:type="dcterms:W3CDTF">2022-11-03T08:06:56Z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C696AAF418054CB88491FC56F075252B</vt:lpwstr>
  </property>
</Properties>
</file>